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801" w:rsidRDefault="00C21801">
      <w:pPr>
        <w:ind w:firstLine="720"/>
        <w:rPr>
          <w:sz w:val="22"/>
          <w:szCs w:val="22"/>
        </w:rPr>
      </w:pPr>
      <w:bookmarkStart w:id="0" w:name="_GoBack"/>
      <w:bookmarkEnd w:id="0"/>
    </w:p>
    <w:p w:rsidR="00C21801" w:rsidRDefault="007D20FB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1724025" cy="10048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801" w:rsidRDefault="00C21801">
      <w:pPr>
        <w:jc w:val="center"/>
        <w:rPr>
          <w:rFonts w:ascii="Garamond" w:eastAsia="Garamond" w:hAnsi="Garamond" w:cs="Garamond"/>
          <w:b/>
          <w:i/>
        </w:rPr>
      </w:pPr>
    </w:p>
    <w:p w:rsidR="00C21801" w:rsidRDefault="007D20FB">
      <w:pPr>
        <w:jc w:val="center"/>
        <w:rPr>
          <w:rFonts w:ascii="Garamond" w:eastAsia="Garamond" w:hAnsi="Garamond" w:cs="Garamond"/>
          <w:b/>
          <w:i/>
          <w:highlight w:val="cyan"/>
        </w:rPr>
      </w:pPr>
      <w:r>
        <w:rPr>
          <w:rFonts w:ascii="Garamond" w:eastAsia="Garamond" w:hAnsi="Garamond" w:cs="Garamond"/>
          <w:b/>
          <w:i/>
        </w:rPr>
        <w:t xml:space="preserve">Checklist for Interim Reports - Dually-Accredited Schools v.6.18 </w:t>
      </w:r>
    </w:p>
    <w:p w:rsidR="00C21801" w:rsidRDefault="00C21801">
      <w:pPr>
        <w:rPr>
          <w:rFonts w:ascii="Garamond" w:eastAsia="Garamond" w:hAnsi="Garamond" w:cs="Garamond"/>
          <w:sz w:val="22"/>
          <w:szCs w:val="22"/>
        </w:rPr>
      </w:pPr>
    </w:p>
    <w:p w:rsidR="00C21801" w:rsidRDefault="007D20FB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Please see the SAES </w:t>
      </w:r>
      <w:r>
        <w:rPr>
          <w:rFonts w:ascii="Garamond" w:eastAsia="Garamond" w:hAnsi="Garamond" w:cs="Garamond"/>
          <w:i/>
          <w:sz w:val="22"/>
          <w:szCs w:val="22"/>
        </w:rPr>
        <w:t>Accreditation Handbook</w:t>
      </w:r>
      <w:r>
        <w:rPr>
          <w:rFonts w:ascii="Garamond" w:eastAsia="Garamond" w:hAnsi="Garamond" w:cs="Garamond"/>
          <w:sz w:val="22"/>
          <w:szCs w:val="22"/>
        </w:rPr>
        <w:t xml:space="preserve"> for details of this interim report.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208"/>
      </w:tblGrid>
      <w:tr w:rsidR="00C21801">
        <w:trPr>
          <w:trHeight w:val="240"/>
        </w:trPr>
        <w:tc>
          <w:tcPr>
            <w:tcW w:w="648" w:type="dxa"/>
            <w:shd w:val="clear" w:color="auto" w:fill="C0C0C0"/>
          </w:tcPr>
          <w:p w:rsidR="00C21801" w:rsidRDefault="007D20F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Zapf Dingbats" w:eastAsia="Zapf Dingbats" w:hAnsi="Zapf Dingbats" w:cs="Zapf Dingbats"/>
                <w:color w:val="000000"/>
              </w:rPr>
              <w:t>✔</w:t>
            </w:r>
          </w:p>
        </w:tc>
        <w:tc>
          <w:tcPr>
            <w:tcW w:w="8208" w:type="dxa"/>
            <w:shd w:val="clear" w:color="auto" w:fill="C0C0C0"/>
          </w:tcPr>
          <w:p w:rsidR="00C21801" w:rsidRDefault="007D20FB">
            <w:pPr>
              <w:jc w:val="center"/>
              <w:rPr>
                <w:rFonts w:ascii="Garamond" w:eastAsia="Garamond" w:hAnsi="Garamond" w:cs="Garamond"/>
                <w:color w:val="0000FF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0"/>
                <w:szCs w:val="20"/>
              </w:rPr>
              <w:t>Item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Cover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Sheet to Accompany Reports to the SAES Standards Committee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signed by both the Head of School and Board President 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Checklist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Five-Year (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SAES/ISAS) or Two-Year (SAES/SAIS)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Interim Report for Dual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ly Accredited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Schools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Table of Contents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Current year SAES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Annual Report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[Contact SAES Office for an insertable version.]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Head of School letter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describing the major changes that have occurred since the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On-Site Visit,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such as but not limited to a new Head of School or Rector, bylaw changes, program modifications, grade level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s added or removed, significant financial development/resolution, or major construction or land acquisition.  In this letter, the Head of School should address the status of any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Episcopal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Identity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overarching (summary) recommendations that were made in the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Report of the Visiting Team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. 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Recommendations – Each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Episcopal Identity, School Climate and Culture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recommendation must be stated in full, followed by an explanation of how it has been addressed, how it is being addressed, or why it has not been addres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sed, along with copies of new policies or other evidence that demonstrate that the SAES recommendation has been met.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Episcopal Identity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documents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:  By-laws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 shared use agreement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(if applicable)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Episcopal Identity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questions [See SAES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Accreditation Handbook,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Five-Year Interim Report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section for questions.]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Budget for the current fiscal year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An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audit or financial review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by an independent CPA completed for the most recently completed fiscal year and accompanying management letter (if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applicable).  [See SAES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tandard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 F.3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for whether an audit or review is required.]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 statement of whether or not the school has an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operating deficit or surplus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and plans for resolving the deficit or applying the surplus.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An explanation of the school’s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long-term debt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(if applicable), the terms of payment, and the percent of gross income this represents.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ost recent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strategic plan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that includes vision, rationales, priorities/goals, and implementation plan with action steps, timeline, funding resources,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and people responsible. [Note: SAES requests the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most recent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planning documents; i.e., if these plans are in progress, the school does not have to create new plans for the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Interim Report.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]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strategic financial plan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that accompanies the strategic plan and puts dollars/resources to the action steps.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If a strategic financial plan is not available, a multi-year/long-range financial plan with projections over a period of years is needed.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Crisis response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(emergency)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pla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that includes action steps and policy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Copies of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certificates of occupancy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for new construction since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the On-Site Visit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(if applicable)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Log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of school safety drills, including but not limited to fire, lock-down, and severe weather drills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Copies of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safety inspection licenses and certificates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Copies of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daycare and program licensing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(if applicable)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contextualSpacing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SAES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School Safety Checklist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, signed by the Head of School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</w:tr>
      <w:tr w:rsidR="00C21801">
        <w:tc>
          <w:tcPr>
            <w:tcW w:w="648" w:type="dxa"/>
          </w:tcPr>
          <w:p w:rsidR="00C21801" w:rsidRDefault="00C2180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208" w:type="dxa"/>
          </w:tcPr>
          <w:p w:rsidR="00C21801" w:rsidRDefault="007D20FB">
            <w:pPr>
              <w:numPr>
                <w:ilvl w:val="0"/>
                <w:numId w:val="1"/>
              </w:num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An explanation of ways that the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work on this report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has informed the school’s understanding of issues addressed? Based on what has been learned, what suggestions does the school have for addressing these issues?</w:t>
            </w:r>
          </w:p>
        </w:tc>
      </w:tr>
    </w:tbl>
    <w:p w:rsidR="00C21801" w:rsidRDefault="00C21801">
      <w:pPr>
        <w:rPr>
          <w:rFonts w:ascii="Garamond" w:eastAsia="Garamond" w:hAnsi="Garamond" w:cs="Garamond"/>
          <w:sz w:val="22"/>
          <w:szCs w:val="22"/>
        </w:rPr>
      </w:pPr>
    </w:p>
    <w:sectPr w:rsidR="00C21801">
      <w:footerReference w:type="default" r:id="rId8"/>
      <w:pgSz w:w="12240" w:h="15840"/>
      <w:pgMar w:top="540" w:right="1800" w:bottom="12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FB" w:rsidRDefault="007D20FB">
      <w:r>
        <w:separator/>
      </w:r>
    </w:p>
  </w:endnote>
  <w:endnote w:type="continuationSeparator" w:id="0">
    <w:p w:rsidR="007D20FB" w:rsidRDefault="007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1" w:rsidRDefault="007D2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ind w:right="360"/>
      <w:rPr>
        <w:rFonts w:ascii="Garamond" w:eastAsia="Garamond" w:hAnsi="Garamond" w:cs="Garamond"/>
        <w:color w:val="808080"/>
        <w:sz w:val="16"/>
        <w:szCs w:val="16"/>
      </w:rPr>
    </w:pPr>
    <w:r>
      <w:rPr>
        <w:rFonts w:ascii="Garamond" w:eastAsia="Garamond" w:hAnsi="Garamond" w:cs="Garamond"/>
        <w:color w:val="808080"/>
        <w:sz w:val="16"/>
        <w:szCs w:val="16"/>
      </w:rPr>
      <w:t xml:space="preserve">SAES </w:t>
    </w:r>
    <w:r>
      <w:rPr>
        <w:rFonts w:ascii="Garamond" w:eastAsia="Garamond" w:hAnsi="Garamond" w:cs="Garamond"/>
        <w:color w:val="808080"/>
        <w:sz w:val="16"/>
        <w:szCs w:val="16"/>
      </w:rPr>
      <w:t>6.15.2018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FB" w:rsidRDefault="007D20FB">
      <w:r>
        <w:separator/>
      </w:r>
    </w:p>
  </w:footnote>
  <w:footnote w:type="continuationSeparator" w:id="0">
    <w:p w:rsidR="007D20FB" w:rsidRDefault="007D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E72"/>
    <w:multiLevelType w:val="multilevel"/>
    <w:tmpl w:val="41108F88"/>
    <w:lvl w:ilvl="0">
      <w:start w:val="1"/>
      <w:numFmt w:val="decimal"/>
      <w:lvlText w:val="%1."/>
      <w:lvlJc w:val="left"/>
      <w:pPr>
        <w:ind w:left="11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1"/>
    <w:rsid w:val="007D20FB"/>
    <w:rsid w:val="00C21801"/>
    <w:rsid w:val="00C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00D57-6FCD-406A-8B65-07F48DD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20"/>
      <w:ind w:left="835"/>
      <w:outlineLvl w:val="0"/>
    </w:pPr>
    <w:rPr>
      <w:rFonts w:ascii="Arial Black" w:eastAsia="Arial Black" w:hAnsi="Arial Black" w:cs="Arial Black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2018-06-26T15:47:00Z</dcterms:created>
  <dcterms:modified xsi:type="dcterms:W3CDTF">2018-06-26T15:47:00Z</dcterms:modified>
</cp:coreProperties>
</file>